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 der wasserlosen Urinalanlagen in allen städtischen Liegenschaften 2027 - 2029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der wasserlosen Urinalanlagen in allen städtischen Liegenschaften 2027 - 2029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